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Heading3H3StrongBlackCentered"/>
      </w:pPr>
      <w:r>
        <w:t>BLS</w:t>
      </w:r>
      <w:r>
        <w:t xml:space="preserve"> Course</w:t>
      </w:r>
      <w:r>
        <w:t xml:space="preserve"> Agenda</w:t>
      </w:r>
    </w:p>
    <w:p>
      <w:pPr>
        <w:pStyle w:val="BodyCtrP"/>
        <w:keepNext/>
        <w:rPr>
          <w:rStyle w:val="a6"/>
        </w:rPr>
      </w:pPr>
      <w:r>
        <w:rPr>
          <w:rStyle w:val="a6"/>
        </w:rPr>
        <w:t>6 students, 2 BLS Instructors; student-to-instructor ratio 3:1; student-to-manikin ratio 1:1;</w:t>
      </w:r>
      <w:r>
        <w:rPr>
          <w:rStyle w:val="a6"/>
        </w:rPr>
        <w:t xml:space="preserve"> </w:t>
      </w:r>
      <w:r>
        <w:rPr>
          <w:rStyle w:val="a6"/>
        </w:rPr>
        <w:br/>
      </w:r>
      <w:r>
        <w:rPr>
          <w:rStyle w:val="a6"/>
        </w:rPr>
        <w:t>total time: approximately 4½ hours (with breaks)</w:t>
      </w:r>
    </w:p>
    <w:tbl>
      <w:tblPr>
        <w:tblStyle w:val="BLSTable1"/>
        <w:tblW w:w="9360" w:type="dxa"/>
        <w:tblLook w:val="01E0" w:firstRow="1" w:lastRow="1" w:firstColumn="1" w:lastColumn="1" w:noHBand="0" w:noVBand="0"/>
        <w:tblLayout w:type="fixed"/>
      </w:tblPr>
      <w:tblGrid>
        <w:gridCol w:w="1795"/>
        <w:gridCol w:w="7565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trHeight w:val="20" w:hRule="atLeast"/>
        </w:trPr>
        <w:tc>
          <w:tcPr>
            <w:tcW w:w="1795" w:type="dxa"/>
          </w:tcPr>
          <w:p>
            <w:pPr>
              <w:ind w:left="15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FFFFFF"/>
                <w:sz w:val="20"/>
                <w:szCs w:val="20"/>
              </w:rPr>
              <w:t>Time</w:t>
            </w:r>
          </w:p>
        </w:tc>
        <w:tc>
          <w:tcPr>
            <w:tcW w:w="7565" w:type="dxa"/>
          </w:tcPr>
          <w:p>
            <w:pPr>
              <w:ind w:left="5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FFFFFF"/>
                <w:sz w:val="20"/>
                <w:szCs w:val="20"/>
              </w:rPr>
              <w:t>Lesson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13:00-13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:05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1: Course Introduction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13:05-13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:44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2: 1-Rescuer Adult BLS</w:t>
            </w:r>
          </w:p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Chain of Survival</w:t>
            </w:r>
          </w:p>
          <w:p>
            <w:pPr>
              <w:ind w:left="129" w:right="2837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Scene Safety and Assessment </w:t>
            </w:r>
          </w:p>
          <w:p>
            <w:pPr>
              <w:ind w:left="129" w:right="2837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Adult Compressions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Initial Steps of CPR 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Open Airway and Pocket Mask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Pocket Mask 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1-Rescuer Adult BLS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13:44-14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:09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3: Bag-Mask Device and AED</w:t>
            </w:r>
          </w:p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Bag-Mask Device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Bag-Mask Device 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AED</w:t>
            </w:r>
          </w:p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AED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14:09-14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:23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4: 2-Rescuer Adult BLS</w:t>
            </w:r>
          </w:p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2-Rescuer Adult BLS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2-Rescuer Adult BLS </w:t>
            </w:r>
          </w:p>
          <w:p>
            <w:pPr>
              <w:ind w:left="129" w:right="1952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2-Rescuer BLS With AED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14:23-14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:28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Break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 w:right="1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14:28-14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:57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5: High-Performance Teams</w:t>
            </w:r>
          </w:p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Team Dynamics</w:t>
            </w:r>
          </w:p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High-Performance Teams</w:t>
            </w:r>
          </w:p>
          <w:p>
            <w:pPr>
              <w:ind w:left="129" w:right="2837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High-Performance Teams Activity </w:t>
            </w:r>
          </w:p>
          <w:p>
            <w:pPr>
              <w:ind w:left="129" w:right="2837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Team Activity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14:57-15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:12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6: Special Considerations</w:t>
            </w:r>
          </w:p>
          <w:p>
            <w:pPr>
              <w:ind w:left="129" w:right="3020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Mouth-to-Mouth Breaths </w:t>
            </w:r>
          </w:p>
          <w:p>
            <w:pPr>
              <w:ind w:left="129" w:right="3020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Breaths and Ventilations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Breaths and Ventilations 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Breaths With an Advanced Airway</w:t>
            </w:r>
          </w:p>
          <w:p>
            <w:pPr>
              <w:ind w:left="129" w:right="3020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Opioid-Associated Emergency </w:t>
            </w:r>
          </w:p>
          <w:p>
            <w:pPr>
              <w:ind w:left="129" w:right="3020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Maternal Cardiac Arrest </w:t>
            </w:r>
          </w:p>
          <w:p>
            <w:pPr>
              <w:ind w:left="129" w:right="3020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Drowning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15:12-15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:17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Break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15:17-15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:31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7: Child BLS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Child BLS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2-Rescuer Child BLS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2-Rescuer Child BLS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15:31-15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:56</w:t>
            </w:r>
          </w:p>
        </w:tc>
        <w:tc>
          <w:tcPr>
            <w:tcW w:w="7565" w:type="dxa"/>
          </w:tcPr>
          <w:p>
            <w:pPr>
              <w:ind w:left="129" w:right="3020"/>
              <w:autoSpaceDE w:val="off"/>
              <w:autoSpaceDN w:val="off"/>
              <w:widowControl w:val="off"/>
              <w:rPr>
                <w:rFonts w:ascii="Calibri" w:eastAsia="Arial" w:hAnsi="Calibri" w:cs="Calibri"/>
                <w:b/>
                <w:bCs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color w:val="231F20"/>
                <w:sz w:val="20"/>
                <w:szCs w:val="20"/>
              </w:rPr>
              <w:t>Lesson 8: Infant BLS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BLS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Compressions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Infant Compressions 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Bag-Mask Device for Infants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Bag-Mask Device for Infants 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2-Rescuer Infant BLS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2-Rescuer Infant BLS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Infant High-Performance Teams Activity (Optional) Infant High-Performance Teams Activity (Optional)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15:56 -16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:04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9: Local Protocols Discussion (Optional)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16:04-16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:13</w:t>
            </w:r>
          </w:p>
        </w:tc>
        <w:tc>
          <w:tcPr>
            <w:tcW w:w="7565" w:type="dxa"/>
          </w:tcPr>
          <w:p>
            <w:pPr>
              <w:ind w:left="129" w:right="1358"/>
              <w:autoSpaceDE w:val="off"/>
              <w:autoSpaceDN w:val="off"/>
              <w:widowControl w:val="off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Lesson 10: Relief of Choking </w:t>
            </w:r>
          </w:p>
          <w:p>
            <w:pPr>
              <w:ind w:left="129" w:right="1358"/>
              <w:autoSpaceDE w:val="off"/>
              <w:autoSpaceDN w:val="off"/>
              <w:widowControl w:val="off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Adult and Child Choking </w:t>
            </w:r>
          </w:p>
          <w:p>
            <w:pPr>
              <w:ind w:left="129" w:right="1358"/>
              <w:autoSpaceDE w:val="off"/>
              <w:autoSpaceDN w:val="off"/>
              <w:widowControl w:val="off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Choking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Infant Choking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16:13-16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:16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11: Conclusion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16:16-16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:56</w:t>
            </w:r>
          </w:p>
        </w:tc>
        <w:tc>
          <w:tcPr>
            <w:tcW w:w="7565" w:type="dxa"/>
          </w:tcPr>
          <w:p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12: Skills Test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Adult CPR and </w:t>
            </w:r>
            <w:r>
              <w:rPr>
                <w:rFonts w:ascii="Calibri" w:eastAsia="Arial" w:hAnsi="Calibri" w:cs="Calibri"/>
                <w:color w:val="231F20"/>
                <w:sz w:val="20"/>
                <w:szCs w:val="20"/>
              </w:rPr>
              <w:t>AED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Skills Test </w:t>
            </w:r>
          </w:p>
          <w:p>
            <w:pPr>
              <w:ind w:left="129" w:right="1358"/>
              <w:autoSpaceDE w:val="off"/>
              <w:autoSpaceDN w:val="off"/>
              <w:widowControl w:val="off"/>
              <w:spacing w:line="259" w:lineRule="auto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Infant CPR Skills Test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rPr>
                <w:rFonts w:asciiTheme="minorHAnsi" w:eastAsia="Arial" w:hAnsiTheme="minorHAnsi" w:cstheme="minorHAnsi"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16:56-17</w:t>
            </w:r>
            <w:r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:21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13: Exam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 w:hRule="atLeast"/>
        </w:trPr>
        <w:tc>
          <w:tcPr>
            <w:tcW w:w="1795" w:type="dxa"/>
          </w:tcPr>
          <w:p>
            <w:pPr>
              <w:ind w:left="10"/>
              <w:autoSpaceDE w:val="off"/>
              <w:autoSpaceDN w:val="off"/>
              <w:widowControl w:val="off"/>
              <w:jc w:val="center"/>
              <w:rPr>
                <w:rFonts w:ascii="Calibri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hAnsi="Calibri" w:cs="Calibri"/>
                <w:color w:val="231F20"/>
                <w:sz w:val="20"/>
                <w:szCs w:val="20"/>
              </w:rPr>
              <w:t>17:21-17</w:t>
            </w:r>
            <w:r>
              <w:rPr>
                <w:rFonts w:ascii="Calibri" w:hAnsi="Calibri" w:cs="Calibri"/>
                <w:color w:val="231F20"/>
                <w:sz w:val="20"/>
                <w:szCs w:val="20"/>
              </w:rPr>
              <w:t>:31</w:t>
            </w:r>
          </w:p>
        </w:tc>
        <w:tc>
          <w:tcPr>
            <w:tcW w:w="7565" w:type="dxa"/>
          </w:tcPr>
          <w:p>
            <w:pPr>
              <w:ind w:left="129"/>
              <w:autoSpaceDE w:val="off"/>
              <w:autoSpaceDN w:val="off"/>
              <w:widowControl w:val="off"/>
              <w:rPr>
                <w:rFonts w:ascii="Calibri" w:hAnsi="Calibri" w:cs="Calibri"/>
                <w:b/>
                <w:color w:val="231F2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231F20"/>
                <w:sz w:val="20"/>
                <w:szCs w:val="20"/>
              </w:rPr>
              <w:t xml:space="preserve">Lesson 14: Remediation </w:t>
            </w:r>
          </w:p>
          <w:p>
            <w:pPr>
              <w:ind w:left="129"/>
              <w:autoSpaceDE w:val="off"/>
              <w:autoSpaceDN w:val="off"/>
              <w:widowControl w:val="off"/>
              <w:rPr>
                <w:rFonts w:ascii="Calibri" w:hAnsi="Calibri" w:cs="Calibri"/>
                <w:color w:val="231F20"/>
                <w:sz w:val="20"/>
                <w:szCs w:val="20"/>
              </w:rPr>
            </w:pPr>
            <w:r>
              <w:rPr>
                <w:rFonts w:ascii="Calibri" w:hAnsi="Calibri" w:cs="Calibri"/>
                <w:color w:val="231F20"/>
                <w:sz w:val="20"/>
                <w:szCs w:val="20"/>
              </w:rPr>
              <w:t xml:space="preserve">Skills Testing Remediation </w:t>
            </w:r>
          </w:p>
          <w:p>
            <w:pPr>
              <w:ind w:left="129"/>
              <w:autoSpaceDE w:val="off"/>
              <w:autoSpaceDN w:val="off"/>
              <w:widowControl w:val="off"/>
              <w:rPr>
                <w:rFonts w:ascii="Calibri" w:hAnsi="Calibri" w:cs="Calibri"/>
                <w:b/>
                <w:color w:val="231F20"/>
                <w:sz w:val="20"/>
                <w:szCs w:val="20"/>
              </w:rPr>
            </w:pPr>
            <w:r>
              <w:rPr>
                <w:rFonts w:ascii="Calibri" w:hAnsi="Calibri" w:cs="Calibri"/>
                <w:color w:val="231F20"/>
                <w:sz w:val="20"/>
                <w:szCs w:val="20"/>
              </w:rPr>
              <w:t>Exa</w:t>
            </w:r>
            <w:r>
              <w:rPr>
                <w:rFonts w:ascii="Calibri" w:hAnsi="Calibri" w:cs="Calibri"/>
                <w:color w:val="231F20"/>
                <w:sz w:val="20"/>
                <w:szCs w:val="20"/>
              </w:rPr>
              <w:t>m Remediation</w:t>
            </w:r>
          </w:p>
        </w:tc>
      </w:tr>
    </w:tbl>
    <w:p>
      <w:pPr>
        <w:pStyle w:val="TPRegularP"/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libri">
    <w:panose1 w:val="020F0502020204030204"/>
    <w:family w:val="Calibri"/>
    <w:charset w:val="00"/>
    <w:notTrueType w:val="false"/>
    <w:sig w:usb0="7FFFFFFF" w:usb1="7FFFFFFF" w:usb2="00000009" w:usb3="00000001" w:csb0="200001FF" w:csb1="00000001"/>
  </w:font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Calibri Light">
    <w:panose1 w:val="020F0302020204030204"/>
    <w:family w:val="Calibri"/>
    <w:charset w:val="00"/>
    <w:notTrueType w:val="false"/>
    <w:sig w:usb0="7FFFFFFF" w:usb1="7FFFFFFF" w:usb2="00000009" w:usb3="00000001" w:csb0="200001FF" w:csb1="00000001"/>
  </w:font>
  <w:font w:name="Segoe UI">
    <w:panose1 w:val="020B0502040204020203"/>
    <w:family w:val="Segoe UI"/>
    <w:charset w:val="00"/>
    <w:notTrueType w:val="false"/>
    <w:sig w:usb0="7FFFFFFF" w:usb1="7FFFFFFF" w:usb2="00000009" w:usb3="00000001" w:csb0="200001FF" w:csb1="00000001"/>
  </w:font>
  <w:font w:name="HelveticaNeueLT Std">
    <w:panose1 w:val="00000000000000000000"/>
    <w:family w:val="swiss"/>
    <w:altName w:val="Arial"/>
    <w:charset w:val="00"/>
    <w:notTrueType w:val="false"/>
    <w:pitch w:val="variable"/>
    <w:sig w:usb0="00000003" w:usb1="00000000" w:usb2="00000000" w:usb3="00000000" w:csb0="00000001" w:csb1="00000000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Symbol">
    <w:panose1 w:val="05050102010706020507"/>
    <w:family w:val="Symbol"/>
    <w:charset w:val="00"/>
    <w:notTrueType w:val="false"/>
    <w:sig w:usb0="00000001" w:usb1="00000001" w:usb2="00000001" w:usb3="00000001" w:csb0="7FFFFFFF" w:csb1="00000001"/>
  </w:font>
  <w:font w:name="Courier New">
    <w:panose1 w:val="02070309020205020404"/>
    <w:family w:val="Courier New"/>
    <w:charset w:val="00"/>
    <w:notTrueType w:val="false"/>
    <w:sig w:usb0="7FFFFFFF" w:usb1="7FFFFFFF" w:usb2="00000009" w:usb3="00000001" w:csb0="400001FF" w:csb1="7FFFFFFF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7FFFFF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0b3190c"/>
    <w:multiLevelType w:val="hybridMultilevel"/>
    <w:tmpl w:val="5d945542"/>
    <w:lvl w:ilvl="0" w:tplc="47e48afc">
      <w:start w:val="1"/>
      <w:numFmt w:val="bullet"/>
      <w:lvlText w:val=""/>
      <w:lvlJc w:val="left"/>
      <w:pStyle w:val="TPL1BulletP"/>
      <w:pPr>
        <w:ind w:left="720" w:hanging="360"/>
      </w:pPr>
      <w:rPr>
        <w:rFonts w:ascii="Symbol" w:hAnsi="Symbol" w:hint="default"/>
      </w:rPr>
    </w:lvl>
    <w:lvl w:ilvl="1" w:tentative="on" w:tplc="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5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name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="Calibri Light" w:eastAsiaTheme="minorHAnsi" w:hAnsi="Calibri Light" w:cstheme="minorEastAsia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</w:style>
  <w:style w:type="paragraph" w:styleId="3">
    <w:name w:val="heading 3"/>
    <w:uiPriority w:val="9"/>
    <w:aliases w:val="&lt;H3&gt; Strong Black"/>
    <w:basedOn w:val="a"/>
    <w:next w:val="a"/>
    <w:link w:val="3Char"/>
    <w:qFormat/>
    <w:unhideWhenUsed/>
    <w:pPr>
      <w:keepNext/>
      <w:keepLines/>
      <w:outlineLvl w:val="2"/>
      <w:spacing w:after="0" w:before="160"/>
    </w:pPr>
    <w:rPr>
      <w:rFonts w:asciiTheme="minorHAnsi" w:eastAsiaTheme="majorHAnsi" w:hAnsiTheme="minorHAnsi" w:cstheme="majorEastAsia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99"/>
    <w:basedOn w:val="a"/>
    <w:link w:val="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3"/>
    <w:semiHidden/>
    <w:rPr>
      <w:rFonts w:ascii="Segoe UI" w:hAnsi="Segoe UI" w:cs="Segoe UI"/>
      <w:sz w:val="18"/>
      <w:szCs w:val="18"/>
    </w:rPr>
  </w:style>
  <w:style w:type="character" w:styleId="a4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UnresolvedMention">
    <w:name w:val="Unresolved Mention"/>
    <w:uiPriority w:val="99"/>
    <w:basedOn w:val="a0"/>
    <w:semiHidden/>
    <w:unhideWhenUsed/>
    <w:rPr>
      <w:color w:val="605E5C"/>
      <w:shd w:val="clear" w:color="auto" w:fill="E1DFDD"/>
    </w:rPr>
  </w:style>
  <w:style w:type="paragraph" w:styleId="a5">
    <w:name w:val="Body Text"/>
    <w:uiPriority w:val="99"/>
    <w:basedOn w:val="a"/>
    <w:link w:val="Char0"/>
    <w:semiHidden/>
    <w:unhideWhenUsed/>
    <w:pPr>
      <w:spacing w:after="120"/>
    </w:pPr>
  </w:style>
  <w:style w:type="character" w:customStyle="1" w:styleId="Char0">
    <w:name w:val="본문 Char"/>
    <w:uiPriority w:val="99"/>
    <w:basedOn w:val="a0"/>
    <w:link w:val="a5"/>
    <w:semiHidden/>
  </w:style>
  <w:style w:type="paragraph" w:customStyle="1" w:styleId="TableParagraph">
    <w:name w:val="Table Paragraph"/>
    <w:uiPriority w:val="1"/>
    <w:basedOn w:val="a"/>
    <w:qFormat/>
    <w:pPr>
      <w:ind w:left="129"/>
      <w:autoSpaceDE w:val="off"/>
      <w:autoSpaceDN w:val="off"/>
      <w:widowControl w:val="off"/>
      <w:spacing w:after="0" w:before="84" w:line="240" w:lineRule="auto"/>
    </w:pPr>
    <w:rPr>
      <w:rFonts w:ascii="Calibri" w:eastAsia="Calibri" w:hAnsi="Calibri" w:cs="Calibri"/>
    </w:rPr>
  </w:style>
  <w:style w:type="table" w:customStyle="1" w:styleId="BLSTable1">
    <w:name w:val="BLS Table1"/>
    <w:uiPriority w:val="99"/>
    <w:basedOn w:val="a1"/>
    <w:pPr>
      <w:spacing w:after="0" w:line="240" w:lineRule="auto"/>
    </w:pPr>
    <w:tblPr>
      <w:tblStyleColBandSize w:val="1"/>
      <w:tblStyleRowBandSize w:val="1"/>
    </w:tblPr>
    <w:tblStylePr w:type="firstRow">
      <w:pPr>
        <w:wordWrap/>
        <w:jc w:val="center"/>
      </w:pPr>
      <w:rPr>
        <w:rFonts w:asciiTheme="minorHAnsi" w:hAnsiTheme="minorHAnsi"/>
        <w:color w:val="FFFFFF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66B3"/>
      </w:tcPr>
    </w:tblStylePr>
    <w:tblStylePr w:type="band1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1EEC5"/>
      </w:tcPr>
    </w:tblStylePr>
  </w:style>
  <w:style w:type="character" w:styleId="a6">
    <w:name w:val="Strong"/>
    <w:uiPriority w:val="22"/>
    <w:basedOn w:val="a0"/>
    <w:qFormat/>
    <w:rPr>
      <w:rFonts w:asciiTheme="minorHAnsi" w:hAnsiTheme="minorHAnsi"/>
      <w:b/>
      <w:bCs/>
    </w:rPr>
  </w:style>
  <w:style w:type="paragraph" w:customStyle="1" w:styleId="TPHeaderP">
    <w:name w:val="TP Header &lt;P&gt;"/>
    <w:qFormat/>
    <w:pPr>
      <w:adjustRightInd/>
      <w:autoSpaceDE w:val="off"/>
      <w:autoSpaceDN w:val="off"/>
      <w:keepNext/>
      <w:jc w:val="center"/>
      <w:spacing w:after="20" w:before="20" w:line="240" w:lineRule="auto"/>
      <w:textAlignment w:val="baseline"/>
    </w:pPr>
    <w:rPr>
      <w:rFonts w:asciiTheme="minorHAnsi" w:hAnsiTheme="minorHAnsi" w:cs="HelveticaNeueLT Std"/>
      <w:b/>
      <w:color w:val="FFFFFF"/>
      <w:szCs w:val="20"/>
    </w:rPr>
  </w:style>
  <w:style w:type="paragraph" w:customStyle="1" w:styleId="TPL1BulletP">
    <w:name w:val="TP L1 Bullet &lt;P&gt;"/>
    <w:basedOn w:val="a"/>
    <w:qFormat/>
    <w:pPr>
      <w:ind w:left="288" w:hanging="288"/>
      <w:numPr>
        <w:numId w:val="1"/>
      </w:numPr>
      <w:tabs>
        <w:tab w:val="num" w:pos="360"/>
      </w:tabs>
      <w:spacing w:after="20" w:before="20" w:line="240" w:lineRule="auto"/>
    </w:pPr>
    <w:rPr>
      <w:rFonts w:asciiTheme="minorHAnsi" w:hAnsiTheme="minorHAnsi"/>
      <w:sz w:val="20"/>
    </w:rPr>
  </w:style>
  <w:style w:type="paragraph" w:customStyle="1" w:styleId="TPRegularP">
    <w:name w:val="TP Regular &lt;P&gt;"/>
    <w:basedOn w:val="a"/>
    <w:qFormat/>
    <w:pPr>
      <w:spacing w:after="40" w:before="40" w:line="240" w:lineRule="auto"/>
    </w:pPr>
    <w:rPr>
      <w:rFonts w:asciiTheme="minorHAnsi" w:hAnsiTheme="minorHAnsi"/>
      <w:sz w:val="20"/>
    </w:rPr>
  </w:style>
  <w:style w:type="character" w:customStyle="1" w:styleId="3Char">
    <w:name w:val="제목 3 Char"/>
    <w:uiPriority w:val="9"/>
    <w:aliases w:val="&lt;H3&gt; Strong Black Char"/>
    <w:basedOn w:val="a0"/>
    <w:link w:val="3"/>
    <w:rPr>
      <w:rFonts w:asciiTheme="minorHAnsi" w:eastAsiaTheme="majorHAnsi" w:hAnsiTheme="minorHAnsi" w:cstheme="majorEastAsia"/>
      <w:b/>
      <w:sz w:val="24"/>
      <w:szCs w:val="24"/>
    </w:rPr>
  </w:style>
  <w:style w:type="paragraph" w:customStyle="1" w:styleId="BodyCtrP">
    <w:name w:val="Body Ctr &lt;P&gt;"/>
    <w:basedOn w:val="a"/>
    <w:qFormat/>
    <w:pPr>
      <w:jc w:val="center"/>
      <w:spacing w:after="120" w:before="120"/>
    </w:pPr>
    <w:rPr>
      <w:rFonts w:asciiTheme="minorHAnsi" w:hAnsiTheme="minorHAnsi"/>
    </w:rPr>
  </w:style>
  <w:style w:type="paragraph" w:customStyle="1" w:styleId="Heading3H3StrongBlackCentered">
    <w:name w:val="Heading 3&lt;H3&gt; Strong Black + Centered"/>
    <w:basedOn w:val="3"/>
    <w:pPr>
      <w:jc w:val="center"/>
      <w:spacing w:before="0"/>
    </w:pPr>
    <w:rPr>
      <w:rFonts w:cs="Times New Roman"/>
      <w:bCs/>
      <w:szCs w:val="20"/>
    </w:rPr>
  </w:style>
  <w:style w:type="table" w:styleId="a7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BLS Course Agenda</dc:title>
  <dc:subject/>
  <dc:creator>American Heart Association</dc:creator>
  <cp:keywords/>
  <dc:description/>
  <cp:lastModifiedBy>MY</cp:lastModifiedBy>
  <cp:revision>1</cp:revision>
  <dcterms:created xsi:type="dcterms:W3CDTF">2025-08-27T15:17:00Z</dcterms:created>
  <dcterms:modified xsi:type="dcterms:W3CDTF">2026-07-01T02:06:00Z</dcterms:modified>
  <cp:version>1300.0100.01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0x0101003DD603D85517F942A17D72CFEFB6C038</vt:lpwstr>
  </property>
  <property fmtid="{D5CDD505-2E9C-101B-9397-08002B2CF9AE}" pid="3" name="MediaServiceImageTags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